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版本号：KY2025-1-102520251027001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雁塔校区19#、24#号楼周边管网及道路改造项目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KY2025-1-1025</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雁塔校区19#、24#号楼周边管网及道路改造项目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KY2025-1-1025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雁塔校区19#、24#号楼周边管网及道路改造项目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建筑科技大学雁塔校区19#、24#号楼周边管网及道路改造项目，1项。现对19号楼南侧、24号楼北侧道路及管网进行改造，涉及路面破除、混凝土路面浇筑、管沟砌筑、给排水及暖气管网改造等内容。改造面积约900余平方米，质量标准执行国家、陕西省、西安市现行工程质量验评标准。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采购包1（雁塔校区19#、24#号楼周边管网及道路改造项目）：属于专门面向中小企业采购。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1、拟派项目负责人资质和专业要求：拟派项目经理具备合法有效的建筑工程专业二级及以上注册建造师资格和安全生产考核合格证，且无其他在建工程（提供无在建工程的承诺函）。</w:t>
      </w:r>
    </w:p>
    <w:p>
      <w:pPr>
        <w:pStyle w:val="null3"/>
      </w:pPr>
      <w:r>
        <w:rPr>
          <w:rFonts w:ascii="仿宋_GB2312" w:hAnsi="仿宋_GB2312" w:cs="仿宋_GB2312" w:eastAsia="仿宋_GB2312"/>
        </w:rPr>
        <w:t>2、法定代表人授权书：法定代表人授权书及被授权人身份证明。（法定代表人直接投标只须提供其身份证明）</w:t>
      </w:r>
    </w:p>
    <w:p>
      <w:pPr>
        <w:pStyle w:val="null3"/>
      </w:pPr>
      <w:r>
        <w:rPr>
          <w:rFonts w:ascii="仿宋_GB2312" w:hAnsi="仿宋_GB2312" w:cs="仿宋_GB2312" w:eastAsia="仿宋_GB2312"/>
        </w:rPr>
        <w:t>3、企业资质：供应商应具备建设行政主管部门颁发合法有效的建筑工程施工总承包三级及以上资质，且具备合法有效的安全生产许可证。</w:t>
      </w:r>
    </w:p>
    <w:p>
      <w:pPr>
        <w:pStyle w:val="null3"/>
      </w:pPr>
      <w:r>
        <w:rPr>
          <w:rFonts w:ascii="仿宋_GB2312" w:hAnsi="仿宋_GB2312" w:cs="仿宋_GB2312" w:eastAsia="仿宋_GB2312"/>
        </w:rPr>
        <w:t>4、其他要求：陕西省外的供应商及其拟派项目经理相关信息须在“陕西省住房和城乡建设厅”官方网站可查询。</w:t>
      </w:r>
    </w:p>
    <w:p>
      <w:pPr>
        <w:pStyle w:val="null3"/>
      </w:pPr>
      <w:r>
        <w:rPr>
          <w:rFonts w:ascii="仿宋_GB2312" w:hAnsi="仿宋_GB2312" w:cs="仿宋_GB2312" w:eastAsia="仿宋_GB2312"/>
        </w:rPr>
        <w:t>5、中小企业声明：本项目专门面向中小企业采购，供应商须为中小企业，并提供声明函。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029-82102221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采购包1：839,700.00元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银行账号：86113010750181502000522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说明：供应商成交后凭成交通知书向采购人缴纳成交金额的3%作为履约保证金，待合同履约完毕后无息退还。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代理服务费收费标准：1、依据成交金额向采购代理机构交纳成交服务费，交费金额参照国家计委颁布的《招标代理服务收费管理暂行办法》（计价格[2002]1980号）及发改办价格[2003]857号文件的规定标准收取。 2、本项目成交服务费按工程计取。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踏勘时间：2025-11-04 10:00:00</w:t>
            </w:r>
          </w:p>
          <w:p>
            <w:pPr>
              <w:pStyle w:val="null3"/>
              <w:ind w:firstLine="975"/>
            </w:pPr>
            <w:r>
              <w:rPr>
                <w:rFonts w:ascii="仿宋_GB2312" w:hAnsi="仿宋_GB2312" w:cs="仿宋_GB2312" w:eastAsia="仿宋_GB2312"/>
              </w:rPr>
              <w:t>踏勘地点：雁塔校区南院19号楼南侧</w:t>
            </w:r>
          </w:p>
          <w:p>
            <w:pPr>
              <w:pStyle w:val="null3"/>
              <w:ind w:firstLine="975"/>
            </w:pPr>
            <w:r>
              <w:rPr>
                <w:rFonts w:ascii="仿宋_GB2312" w:hAnsi="仿宋_GB2312" w:cs="仿宋_GB2312" w:eastAsia="仿宋_GB2312"/>
              </w:rPr>
              <w:t>联系人：刘老师</w:t>
            </w:r>
          </w:p>
          <w:p>
            <w:pPr>
              <w:pStyle w:val="null3"/>
              <w:ind w:firstLine="975"/>
            </w:pPr>
            <w:r>
              <w:rPr>
                <w:rFonts w:ascii="仿宋_GB2312" w:hAnsi="仿宋_GB2312" w:cs="仿宋_GB2312" w:eastAsia="仿宋_GB2312"/>
              </w:rPr>
              <w:t>联系电话号码：029-82202233，请确认参与踏勘的供应商于2025年11月3日17:00前将参与踏勘的人员及联系方式发送至1073273918@qq.com邮箱。</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联系人：汪涛、刘金柯、卢韶华</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839,700.00</w:t>
      </w:r>
    </w:p>
    <w:p>
      <w:pPr>
        <w:pStyle w:val="null3"/>
      </w:pPr>
      <w:r>
        <w:rPr>
          <w:rFonts w:ascii="仿宋_GB2312" w:hAnsi="仿宋_GB2312" w:cs="仿宋_GB2312" w:eastAsia="仿宋_GB2312"/>
        </w:rPr>
        <w:t>采购包最高限价（元）: 839,700.00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雁塔校区19#、24#号楼周边管网及道路改造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839,700.00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标的名称：雁塔校区19#、24#号楼周边管网及道路改造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ind w:firstLine="562"/>
              <w:jc w:val="left"/>
            </w:pPr>
            <w:r>
              <w:rPr>
                <w:rFonts w:ascii="仿宋_GB2312" w:hAnsi="仿宋_GB2312" w:cs="仿宋_GB2312" w:eastAsia="仿宋_GB2312"/>
                <w:sz w:val="28"/>
                <w:b/>
              </w:rPr>
              <w:t>1.</w:t>
            </w:r>
            <w:r>
              <w:rPr>
                <w:rFonts w:ascii="仿宋_GB2312" w:hAnsi="仿宋_GB2312" w:cs="仿宋_GB2312" w:eastAsia="仿宋_GB2312"/>
                <w:sz w:val="28"/>
                <w:b/>
              </w:rPr>
              <w:t>项目概况：</w:t>
            </w:r>
          </w:p>
          <w:p>
            <w:pPr>
              <w:pStyle w:val="null3"/>
              <w:spacing w:after="165"/>
              <w:ind w:firstLine="400"/>
              <w:jc w:val="left"/>
            </w:pPr>
            <w:r>
              <w:rPr>
                <w:rFonts w:ascii="仿宋_GB2312" w:hAnsi="仿宋_GB2312" w:cs="仿宋_GB2312" w:eastAsia="仿宋_GB2312"/>
                <w:sz w:val="20"/>
                <w:u w:val="single"/>
              </w:rPr>
              <w:t>根据学校规划安排，现对19号楼南侧、24号楼北侧道路及管网进行改造，涉及路面破除、混凝土路面浇筑、管沟砌筑、给排水及暖气管网改造等内容。改造面积约900余平方米，质量标准执行国家、陕西省、西安市现行工程质量验评标准。项目预算83.97万元，施工场地满足施工需求。</w:t>
            </w:r>
          </w:p>
          <w:p>
            <w:pPr>
              <w:pStyle w:val="null3"/>
              <w:spacing w:after="165"/>
              <w:jc w:val="left"/>
            </w:pPr>
            <w:r>
              <w:rPr>
                <w:rFonts w:ascii="仿宋_GB2312" w:hAnsi="仿宋_GB2312" w:cs="仿宋_GB2312" w:eastAsia="仿宋_GB2312"/>
                <w:sz w:val="28"/>
                <w:b/>
              </w:rPr>
              <w:t>二、采购内容及要求</w:t>
            </w:r>
          </w:p>
          <w:p>
            <w:pPr>
              <w:pStyle w:val="null3"/>
              <w:spacing w:after="165"/>
              <w:ind w:firstLine="560"/>
              <w:jc w:val="both"/>
            </w:pPr>
            <w:r>
              <w:rPr>
                <w:rFonts w:ascii="仿宋_GB2312" w:hAnsi="仿宋_GB2312" w:cs="仿宋_GB2312" w:eastAsia="仿宋_GB2312"/>
                <w:sz w:val="20"/>
                <w:b/>
              </w:rPr>
              <w:t>1</w:t>
            </w:r>
            <w:r>
              <w:rPr>
                <w:rFonts w:ascii="仿宋_GB2312" w:hAnsi="仿宋_GB2312" w:cs="仿宋_GB2312" w:eastAsia="仿宋_GB2312"/>
                <w:sz w:val="20"/>
                <w:b/>
              </w:rPr>
              <w:t>、采购（招标）范围</w:t>
            </w:r>
          </w:p>
          <w:p>
            <w:pPr>
              <w:pStyle w:val="null3"/>
              <w:spacing w:after="165"/>
              <w:ind w:firstLine="402"/>
              <w:jc w:val="left"/>
            </w:pPr>
            <w:r>
              <w:rPr>
                <w:rFonts w:ascii="仿宋_GB2312" w:hAnsi="仿宋_GB2312" w:cs="仿宋_GB2312" w:eastAsia="仿宋_GB2312"/>
                <w:sz w:val="20"/>
                <w:b/>
              </w:rPr>
              <w:t>1.</w:t>
            </w:r>
            <w:r>
              <w:rPr>
                <w:rFonts w:ascii="仿宋_GB2312" w:hAnsi="仿宋_GB2312" w:cs="仿宋_GB2312" w:eastAsia="仿宋_GB2312"/>
                <w:sz w:val="20"/>
                <w:b/>
              </w:rPr>
              <w:t>《工程量清单》（或《采购清单》）</w:t>
            </w:r>
          </w:p>
          <w:tbl>
            <w:tblPr>
              <w:tblBorders>
                <w:top w:val="single"/>
                <w:left w:val="single"/>
                <w:bottom w:val="single"/>
                <w:right w:val="single"/>
                <w:insideH w:val="single"/>
                <w:insideV w:val="single"/>
              </w:tblBorders>
            </w:tblPr>
            <w:tblGrid>
              <w:gridCol w:w="165"/>
              <w:gridCol w:w="165"/>
              <w:gridCol w:w="367"/>
              <w:gridCol w:w="1299"/>
              <w:gridCol w:w="281"/>
              <w:gridCol w:w="270"/>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序号</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楼号</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项目名称</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施工内容</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工程量</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单位</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w:t>
                  </w:r>
                </w:p>
              </w:tc>
              <w:tc>
                <w:tcPr>
                  <w:tcW w:type="dxa" w:w="1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路面破除</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路面破除</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508.75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土方开挖</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地面土方平整、开挖、倒运</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315.38</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管沟砌筑</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100</w:t>
                  </w:r>
                  <w:r>
                    <w:rPr>
                      <w:rFonts w:ascii="仿宋_GB2312" w:hAnsi="仿宋_GB2312" w:cs="仿宋_GB2312" w:eastAsia="仿宋_GB2312"/>
                      <w:sz w:val="21"/>
                      <w:color w:val="000000"/>
                    </w:rPr>
                    <w:t>厚C15混凝土垫层，侧墙240砖，200mm混凝土盖板，水泥砂浆压顶，墙体抹灰。沟深800，沟宽800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65.00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m</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4</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阀门加装</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DN125</w:t>
                  </w:r>
                  <w:r>
                    <w:rPr>
                      <w:rFonts w:ascii="仿宋_GB2312" w:hAnsi="仿宋_GB2312" w:cs="仿宋_GB2312" w:eastAsia="仿宋_GB2312"/>
                      <w:sz w:val="21"/>
                      <w:color w:val="000000"/>
                    </w:rPr>
                    <w:t>法兰式铜杆闸阀安装，含所有辅材法兰、垫片、螺栓等</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4.00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5</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阀门加装</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DN150</w:t>
                  </w:r>
                  <w:r>
                    <w:rPr>
                      <w:rFonts w:ascii="仿宋_GB2312" w:hAnsi="仿宋_GB2312" w:cs="仿宋_GB2312" w:eastAsia="仿宋_GB2312"/>
                      <w:sz w:val="21"/>
                      <w:color w:val="000000"/>
                    </w:rPr>
                    <w:t>法兰式铜杆闸阀安装，含所有辅材法兰、垫片、螺栓等</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6</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暖气管道移位</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原有供暖管道拆除，DN125聚氨酯发泡无缝钢管铺设，含新旧管道焊接，支架搭接及各入户管道破口连接、试水打压等，保温棉厚度不低于50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130.00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m</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7</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锈蚀给水管道更换</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原有锈蚀给水管道拆除更换DN150PE管道，含新旧管道连接、支架搭接及各入户管道破口连接、试水打压等</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65.00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m</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8</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灰土垫层</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400</w:t>
                  </w:r>
                  <w:r>
                    <w:rPr>
                      <w:rFonts w:ascii="仿宋_GB2312" w:hAnsi="仿宋_GB2312" w:cs="仿宋_GB2312" w:eastAsia="仿宋_GB2312"/>
                      <w:sz w:val="21"/>
                      <w:color w:val="000000"/>
                    </w:rPr>
                    <w:t>厚3:7灰土回填，压实</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508.75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9</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路面浇筑</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200</w:t>
                  </w:r>
                  <w:r>
                    <w:rPr>
                      <w:rFonts w:ascii="仿宋_GB2312" w:hAnsi="仿宋_GB2312" w:cs="仿宋_GB2312" w:eastAsia="仿宋_GB2312"/>
                      <w:sz w:val="21"/>
                      <w:color w:val="000000"/>
                    </w:rPr>
                    <w:t>厚C35混凝土路面，拉毛刻槽，每6m预留伸缩缝</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508.75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10</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陶土砖路面</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200mm3:7</w:t>
                  </w:r>
                  <w:r>
                    <w:rPr>
                      <w:rFonts w:ascii="仿宋_GB2312" w:hAnsi="仿宋_GB2312" w:cs="仿宋_GB2312" w:eastAsia="仿宋_GB2312"/>
                      <w:sz w:val="21"/>
                      <w:color w:val="000000"/>
                    </w:rPr>
                    <w:t>灰土夯实，60mmC15混凝土垫层，30厚1：3干硬性水泥砂浆结合层，陶土砖铺设</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306.81</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11</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石材道牙</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150*300</w:t>
                  </w:r>
                  <w:r>
                    <w:rPr>
                      <w:rFonts w:ascii="仿宋_GB2312" w:hAnsi="仿宋_GB2312" w:cs="仿宋_GB2312" w:eastAsia="仿宋_GB2312"/>
                      <w:sz w:val="21"/>
                      <w:color w:val="000000"/>
                    </w:rPr>
                    <w:t>石材道牙铺设</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193.00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m</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12</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检查井加装</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红砖砌筑Φ700检查井，深度不低于1.5m，内粉，安装球墨铸铁重型井盖</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25.00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13</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检查井加装</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红砖砌筑Φ500检查井，深度不低于0.8m，内粉，安装球墨铸铁重型井盖</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4.00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14</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雨水井</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红砖砌筑300*600雨水井，深度不低于0.5m，内粉，管道接原有雨污水井，安装球墨铸铁重型雨水篦子</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5.00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15</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弱电改造</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16</w:t>
                  </w:r>
                  <w:r>
                    <w:rPr>
                      <w:rFonts w:ascii="仿宋_GB2312" w:hAnsi="仿宋_GB2312" w:cs="仿宋_GB2312" w:eastAsia="仿宋_GB2312"/>
                      <w:sz w:val="21"/>
                      <w:color w:val="000000"/>
                    </w:rPr>
                    <w:t>芯光纤穿管敷设、熔接，光纤盒调试安装，接原有通信线路。路宽10m，长65m，由施工单位自行优化设计，一个单元算一套</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8.00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16</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垃圾清运</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含项目内全部垃圾清运（仅计算实方）</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417.13</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m</w:t>
                  </w:r>
                  <w:r>
                    <w:rPr>
                      <w:rFonts w:ascii="仿宋_GB2312" w:hAnsi="仿宋_GB2312" w:cs="仿宋_GB2312" w:eastAsia="仿宋_GB2312"/>
                      <w:sz w:val="24"/>
                      <w:color w:val="000000"/>
                    </w:rPr>
                    <w:t>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17</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暂列金</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￥30,000.00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项</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18</w:t>
                  </w:r>
                </w:p>
              </w:tc>
              <w:tc>
                <w:tcPr>
                  <w:tcW w:type="dxa" w:w="1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路面破除</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路面破除</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431.20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19</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土方开挖</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地面土方平整、开挖、倒运</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291.20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20</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4"/>
                      <w:color w:val="000000"/>
                    </w:rPr>
                    <w:t>土方回填</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土方回填、夯实</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60.48</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4"/>
                      <w:color w:val="000000"/>
                    </w:rPr>
                    <w:t>m</w:t>
                  </w:r>
                  <w:r>
                    <w:rPr>
                      <w:rFonts w:ascii="仿宋_GB2312" w:hAnsi="仿宋_GB2312" w:cs="仿宋_GB2312" w:eastAsia="仿宋_GB2312"/>
                      <w:sz w:val="21"/>
                      <w:color w:val="000000"/>
                    </w:rPr>
                    <w:t>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21</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阀门加装</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DN150</w:t>
                  </w:r>
                  <w:r>
                    <w:rPr>
                      <w:rFonts w:ascii="仿宋_GB2312" w:hAnsi="仿宋_GB2312" w:cs="仿宋_GB2312" w:eastAsia="仿宋_GB2312"/>
                      <w:sz w:val="21"/>
                      <w:color w:val="000000"/>
                    </w:rPr>
                    <w:t>法兰式铜杆闸阀安装，含所有辅材法兰、垫片、螺栓等</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5.00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22</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4"/>
                      <w:color w:val="000000"/>
                    </w:rPr>
                    <w:t>排水管道改造</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拆除、更换原有DN300排水管道，安装DN300PE双壁波纹管管道，含新旧管道连接，主、支管破口连接、面层铺沙盖砖等，含所有辅材</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75.5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4"/>
                      <w:color w:val="000000"/>
                    </w:rPr>
                    <w:t>m</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23</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锈蚀给水管道更换</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原有锈蚀给水管道拆除更换DN150PE管道，含新旧管道连接、各入户管道破口连接、试水打压、面层铺沙盖砖等</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79.00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m</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24</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灰土垫层</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400</w:t>
                  </w:r>
                  <w:r>
                    <w:rPr>
                      <w:rFonts w:ascii="仿宋_GB2312" w:hAnsi="仿宋_GB2312" w:cs="仿宋_GB2312" w:eastAsia="仿宋_GB2312"/>
                      <w:sz w:val="21"/>
                      <w:color w:val="000000"/>
                    </w:rPr>
                    <w:t>厚3:7灰土回填，压实</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487.20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25</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路面浇筑</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200</w:t>
                  </w:r>
                  <w:r>
                    <w:rPr>
                      <w:rFonts w:ascii="仿宋_GB2312" w:hAnsi="仿宋_GB2312" w:cs="仿宋_GB2312" w:eastAsia="仿宋_GB2312"/>
                      <w:sz w:val="21"/>
                      <w:color w:val="000000"/>
                    </w:rPr>
                    <w:t>厚C35混凝土路面，拉毛刻槽，伸缩缝间隙6m</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487.20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26</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石材道牙</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150*300</w:t>
                  </w:r>
                  <w:r>
                    <w:rPr>
                      <w:rFonts w:ascii="仿宋_GB2312" w:hAnsi="仿宋_GB2312" w:cs="仿宋_GB2312" w:eastAsia="仿宋_GB2312"/>
                      <w:sz w:val="21"/>
                      <w:color w:val="000000"/>
                    </w:rPr>
                    <w:t>石材道牙铺设</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244.00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m</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27</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检查井加装</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红砖砌筑Φ700检查井，深度不低于1.3m，内粉，安装球墨铸铁重型井盖</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20.00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28</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雨水井</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红砖砌筑300*600雨水井，深度不低于0.5m，内粉，管道接原有雨污水井，安装球墨铸铁重型雨水篦子</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4.00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套</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29</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绿化恢复</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原有草坪清理，新种麦冬草坪70株/平方米，含翻土、垃圾土换土、50厚营养土铺设</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628.00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30</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红枫种植</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红枫树（树高1.8-2.2m，地径5-6cm，冠幅1.2-1.5m）</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8.00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31</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石楠种植</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红叶石楠（冠幅100cm，树形优美，枝条密实）</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8.00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株</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32</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小叶女贞绿篱</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高度60cm，49株/</w:t>
                  </w:r>
                  <w:r>
                    <w:rPr>
                      <w:rFonts w:ascii="仿宋_GB2312" w:hAnsi="仿宋_GB2312" w:cs="仿宋_GB2312" w:eastAsia="仿宋_GB2312"/>
                      <w:sz w:val="24"/>
                      <w:color w:val="000000"/>
                    </w:rPr>
                    <w:t>㎡</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6.00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33</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小叶黄杨绿篱</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高度50-60cm，49株/</w:t>
                  </w:r>
                  <w:r>
                    <w:rPr>
                      <w:rFonts w:ascii="仿宋_GB2312" w:hAnsi="仿宋_GB2312" w:cs="仿宋_GB2312" w:eastAsia="仿宋_GB2312"/>
                      <w:sz w:val="24"/>
                      <w:color w:val="000000"/>
                    </w:rPr>
                    <w:t>㎡</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6.00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34</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垃圾清运</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含项目内全部垃圾清运（仅计算实方）</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377.44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m</w:t>
                  </w:r>
                  <w:r>
                    <w:rPr>
                      <w:rFonts w:ascii="仿宋_GB2312" w:hAnsi="仿宋_GB2312" w:cs="仿宋_GB2312" w:eastAsia="仿宋_GB2312"/>
                      <w:sz w:val="24"/>
                      <w:color w:val="000000"/>
                    </w:rPr>
                    <w:t>³</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35</w:t>
                  </w:r>
                </w:p>
              </w:tc>
              <w:tc>
                <w:tcPr>
                  <w:tcW w:type="dxa" w:w="165"/>
                  <w:vMerge/>
                  <w:tcBorders>
                    <w:top w:val="none" w:color="000000" w:sz="4"/>
                    <w:left w:val="none" w:color="000000" w:sz="4"/>
                    <w:bottom w:val="single" w:color="000000" w:sz="4"/>
                    <w:right w:val="single" w:color="000000" w:sz="4"/>
                  </w:tcBorders>
                </w:tcP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暂列金</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￥15,000.00</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1.00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color w:val="000000"/>
                    </w:rPr>
                    <w:t>项</w:t>
                  </w:r>
                </w:p>
              </w:tc>
            </w:tr>
          </w:tbl>
          <w:p>
            <w:pPr>
              <w:pStyle w:val="null3"/>
              <w:spacing w:after="165"/>
              <w:ind w:firstLine="402"/>
              <w:jc w:val="left"/>
            </w:pPr>
            <w:r>
              <w:rPr>
                <w:rFonts w:ascii="仿宋_GB2312" w:hAnsi="仿宋_GB2312" w:cs="仿宋_GB2312" w:eastAsia="仿宋_GB2312"/>
                <w:sz w:val="20"/>
                <w:b/>
              </w:rPr>
              <w:t>2.</w:t>
            </w:r>
            <w:r>
              <w:rPr>
                <w:rFonts w:ascii="仿宋_GB2312" w:hAnsi="仿宋_GB2312" w:cs="仿宋_GB2312" w:eastAsia="仿宋_GB2312"/>
                <w:sz w:val="20"/>
                <w:b/>
              </w:rPr>
              <w:t>主要材料规格型号及技术参数要求</w:t>
            </w:r>
          </w:p>
          <w:tbl>
            <w:tblPr>
              <w:tblBorders>
                <w:top w:val="none" w:color="000000" w:sz="4"/>
                <w:left w:val="none" w:color="000000" w:sz="4"/>
                <w:bottom w:val="none" w:color="000000" w:sz="4"/>
                <w:right w:val="none" w:color="000000" w:sz="4"/>
                <w:insideH w:val="none"/>
                <w:insideV w:val="none"/>
              </w:tblBorders>
            </w:tblPr>
            <w:tblGrid>
              <w:gridCol w:w="232"/>
              <w:gridCol w:w="387"/>
              <w:gridCol w:w="1934"/>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b/>
                    </w:rPr>
                    <w:t>序号</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b/>
                    </w:rPr>
                    <w:t>材料名称</w:t>
                  </w:r>
                </w:p>
              </w:tc>
              <w:tc>
                <w:tcPr>
                  <w:tcW w:type="dxa" w:w="19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b/>
                    </w:rPr>
                    <w:t>参数、标准、要求</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rPr>
                    <w:t>1</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rPr>
                    <w:t>阀门</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rPr>
                    <w:t>法兰式铜杆闸阀，标称压力≥1.6MPa，符合本项目采购清单相关要求和国家相关标准、规范</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rPr>
                    <w:t>2</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rPr>
                    <w:t>无缝钢管</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rPr>
                    <w:t>聚氨酯发泡无缝钢管，钢管壁厚不低于12，保温棉厚度不低于50，符合本项目采购清单相关要求和国家相关标准、规范</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rPr>
                    <w:t>3</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rPr>
                    <w:t>井盖</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center"/>
                  </w:pPr>
                  <w:r>
                    <w:rPr>
                      <w:rFonts w:ascii="仿宋_GB2312" w:hAnsi="仿宋_GB2312" w:cs="仿宋_GB2312" w:eastAsia="仿宋_GB2312"/>
                      <w:sz w:val="21"/>
                    </w:rPr>
                    <w:t>F900</w:t>
                  </w:r>
                  <w:r>
                    <w:rPr>
                      <w:rFonts w:ascii="仿宋_GB2312" w:hAnsi="仿宋_GB2312" w:cs="仿宋_GB2312" w:eastAsia="仿宋_GB2312"/>
                      <w:sz w:val="21"/>
                    </w:rPr>
                    <w:t>球磨铸铁重型井盖，井盖嵌入井座的深度≥50mm，井盖总高度≥75㎜，底筋厚度≥100㎜，承压≥360kN，符合本项目工程量清单、施工图纸相关要求和国家相关标准、规范。</w:t>
                  </w:r>
                </w:p>
              </w:tc>
            </w:tr>
          </w:tbl>
          <w:p>
            <w:pPr>
              <w:pStyle w:val="null3"/>
              <w:spacing w:after="165"/>
              <w:ind w:firstLine="400"/>
              <w:jc w:val="both"/>
            </w:pPr>
            <w:r>
              <w:rPr>
                <w:rFonts w:ascii="仿宋_GB2312" w:hAnsi="仿宋_GB2312" w:cs="仿宋_GB2312" w:eastAsia="仿宋_GB2312"/>
                <w:sz w:val="20"/>
                <w:b/>
              </w:rPr>
              <w:t>3.</w:t>
            </w:r>
            <w:r>
              <w:rPr>
                <w:rFonts w:ascii="仿宋_GB2312" w:hAnsi="仿宋_GB2312" w:cs="仿宋_GB2312" w:eastAsia="仿宋_GB2312"/>
                <w:sz w:val="20"/>
                <w:b/>
              </w:rPr>
              <w:t>项目需执行的国家标准、行业标准、地方标准或者其他标准、规范等：</w:t>
            </w:r>
          </w:p>
          <w:tbl>
            <w:tblPr>
              <w:tblInd w:type="dxa" w:w="390"/>
              <w:tblBorders>
                <w:top w:val="none" w:color="000000" w:sz="4"/>
                <w:left w:val="none" w:color="000000" w:sz="4"/>
                <w:bottom w:val="none" w:color="000000" w:sz="4"/>
                <w:right w:val="none" w:color="000000" w:sz="4"/>
                <w:insideH w:val="none"/>
                <w:insideV w:val="none"/>
              </w:tblBorders>
            </w:tblPr>
            <w:tblGrid>
              <w:gridCol w:w="321"/>
              <w:gridCol w:w="2232"/>
            </w:tblGrid>
            <w:tr>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序号</w:t>
                  </w:r>
                </w:p>
              </w:tc>
              <w:tc>
                <w:tcPr>
                  <w:tcW w:type="dxa" w:w="2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标准、规范、规程名称</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0"/>
                      <w:b/>
                    </w:rPr>
                    <w:t>1</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rPr>
                    <w:t>建筑工程施工质量验收统一标准（GB50300-2013）</w:t>
                  </w:r>
                </w:p>
              </w:tc>
            </w:tr>
          </w:tbl>
          <w:p>
            <w:pPr>
              <w:pStyle w:val="null3"/>
              <w:spacing w:after="165"/>
              <w:ind w:firstLine="400"/>
              <w:jc w:val="both"/>
            </w:pPr>
            <w:r>
              <w:rPr>
                <w:rFonts w:ascii="仿宋_GB2312" w:hAnsi="仿宋_GB2312" w:cs="仿宋_GB2312" w:eastAsia="仿宋_GB2312"/>
                <w:sz w:val="20"/>
                <w:b/>
              </w:rPr>
              <w:t>4.</w:t>
            </w:r>
            <w:r>
              <w:rPr>
                <w:rFonts w:ascii="仿宋_GB2312" w:hAnsi="仿宋_GB2312" w:cs="仿宋_GB2312" w:eastAsia="仿宋_GB2312"/>
                <w:sz w:val="20"/>
                <w:b/>
              </w:rPr>
              <w:t>投标报价要求</w:t>
            </w:r>
          </w:p>
          <w:p>
            <w:pPr>
              <w:pStyle w:val="null3"/>
              <w:spacing w:after="165"/>
              <w:ind w:firstLine="400"/>
              <w:jc w:val="both"/>
            </w:pPr>
            <w:r>
              <w:rPr>
                <w:rFonts w:ascii="仿宋_GB2312" w:hAnsi="仿宋_GB2312" w:cs="仿宋_GB2312" w:eastAsia="仿宋_GB2312"/>
                <w:sz w:val="20"/>
              </w:rPr>
              <w:t>投标人投标前，应仔细勘察现场，应充分了解工程建设现状与本工程发包内容相关的实际情况，应充分考虑实际情况对投标报价的影响，任何因忽视或误解现状情况而导致的索赔、价款调整或工期延长申请将不被批准。投标人应充分考虑工程建设现状与本工程计价有关的任何因素均应考虑在投标报价中。</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after="165"/>
              <w:jc w:val="both"/>
            </w:pPr>
            <w:r>
              <w:rPr>
                <w:rFonts w:ascii="仿宋_GB2312" w:hAnsi="仿宋_GB2312" w:cs="仿宋_GB2312" w:eastAsia="仿宋_GB2312"/>
                <w:sz w:val="20"/>
                <w:b/>
              </w:rPr>
              <w:t>二、商务要求（实质性要求，不允许负偏离）：</w:t>
            </w:r>
          </w:p>
          <w:p>
            <w:pPr>
              <w:pStyle w:val="null3"/>
              <w:spacing w:after="165"/>
              <w:ind w:firstLine="402"/>
              <w:jc w:val="left"/>
            </w:pPr>
            <w:r>
              <w:rPr>
                <w:rFonts w:ascii="仿宋_GB2312" w:hAnsi="仿宋_GB2312" w:cs="仿宋_GB2312" w:eastAsia="仿宋_GB2312"/>
                <w:sz w:val="20"/>
                <w:b/>
              </w:rPr>
              <w:t>1.</w:t>
            </w:r>
            <w:r>
              <w:rPr>
                <w:rFonts w:ascii="仿宋_GB2312" w:hAnsi="仿宋_GB2312" w:cs="仿宋_GB2312" w:eastAsia="仿宋_GB2312"/>
                <w:sz w:val="20"/>
                <w:b/>
              </w:rPr>
              <w:t>工期</w:t>
            </w:r>
          </w:p>
          <w:p>
            <w:pPr>
              <w:pStyle w:val="null3"/>
              <w:spacing w:after="120"/>
              <w:ind w:firstLine="402"/>
              <w:jc w:val="both"/>
            </w:pPr>
            <w:r>
              <w:rPr>
                <w:rFonts w:ascii="仿宋_GB2312" w:hAnsi="仿宋_GB2312" w:cs="仿宋_GB2312" w:eastAsia="仿宋_GB2312"/>
                <w:sz w:val="20"/>
                <w:b/>
                <w:u w:val="single"/>
              </w:rPr>
              <w:t xml:space="preserve"> 有效工期要求45日历天 ，根据项目实际需求及使用单位要求确定 </w:t>
            </w:r>
            <w:r>
              <w:rPr>
                <w:rFonts w:ascii="仿宋_GB2312" w:hAnsi="仿宋_GB2312" w:cs="仿宋_GB2312" w:eastAsia="仿宋_GB2312"/>
                <w:sz w:val="20"/>
              </w:rPr>
              <w:t>。</w:t>
            </w:r>
          </w:p>
          <w:p>
            <w:pPr>
              <w:pStyle w:val="null3"/>
              <w:spacing w:after="165"/>
              <w:ind w:firstLine="402"/>
              <w:jc w:val="left"/>
            </w:pPr>
            <w:r>
              <w:rPr>
                <w:rFonts w:ascii="仿宋_GB2312" w:hAnsi="仿宋_GB2312" w:cs="仿宋_GB2312" w:eastAsia="仿宋_GB2312"/>
                <w:sz w:val="20"/>
                <w:b/>
              </w:rPr>
              <w:t>2.</w:t>
            </w:r>
            <w:r>
              <w:rPr>
                <w:rFonts w:ascii="仿宋_GB2312" w:hAnsi="仿宋_GB2312" w:cs="仿宋_GB2312" w:eastAsia="仿宋_GB2312"/>
                <w:sz w:val="20"/>
                <w:b/>
              </w:rPr>
              <w:t>付款方式要求及履约保证金</w:t>
            </w:r>
          </w:p>
          <w:p>
            <w:pPr>
              <w:pStyle w:val="null3"/>
              <w:spacing w:before="120" w:after="165"/>
              <w:ind w:firstLine="402"/>
              <w:jc w:val="both"/>
            </w:pPr>
            <w:r>
              <w:rPr>
                <w:rFonts w:ascii="仿宋_GB2312" w:hAnsi="仿宋_GB2312" w:cs="仿宋_GB2312" w:eastAsia="仿宋_GB2312"/>
                <w:sz w:val="20"/>
                <w:b/>
              </w:rPr>
              <w:t>（1）付款方式要求</w:t>
            </w:r>
          </w:p>
          <w:p>
            <w:pPr>
              <w:pStyle w:val="null3"/>
              <w:spacing w:before="120" w:after="165"/>
              <w:ind w:firstLine="402"/>
              <w:jc w:val="both"/>
            </w:pPr>
            <w:r>
              <w:rPr>
                <w:rFonts w:ascii="仿宋_GB2312" w:hAnsi="仿宋_GB2312" w:cs="仿宋_GB2312" w:eastAsia="仿宋_GB2312"/>
                <w:sz w:val="20"/>
                <w:b/>
                <w:u w:val="single"/>
              </w:rPr>
              <w:t>□签订合同完毕，供应商须按学校要求提供不可撤销、见索即付的独立保函，且保函文本须载明“开证行仅凭受益人单方签署的索赔声明付款”，甲方支付合同总价的 40%作为预付款，否则，甲方不予支付预付款。</w:t>
            </w:r>
          </w:p>
          <w:p>
            <w:pPr>
              <w:pStyle w:val="null3"/>
              <w:spacing w:before="120" w:after="165"/>
              <w:ind w:firstLine="402"/>
              <w:jc w:val="both"/>
            </w:pPr>
            <w:r>
              <w:rPr>
                <w:rFonts w:ascii="仿宋_GB2312" w:hAnsi="仿宋_GB2312" w:cs="仿宋_GB2312" w:eastAsia="仿宋_GB2312"/>
                <w:sz w:val="20"/>
                <w:b/>
                <w:u w:val="single"/>
              </w:rPr>
              <w:t>□签订合同完毕，供应商无法提供预付款保函，施工完成改造工程内容后，支付合同额50%进度款。</w:t>
            </w:r>
          </w:p>
          <w:p>
            <w:pPr>
              <w:pStyle w:val="null3"/>
              <w:spacing w:after="165"/>
              <w:ind w:firstLine="402"/>
              <w:jc w:val="both"/>
            </w:pPr>
            <w:r>
              <w:rPr>
                <w:rFonts w:ascii="仿宋_GB2312" w:hAnsi="仿宋_GB2312" w:cs="仿宋_GB2312" w:eastAsia="仿宋_GB2312"/>
                <w:sz w:val="21"/>
                <w:b/>
                <w:u w:val="single"/>
              </w:rPr>
              <w:t xml:space="preserve"> </w:t>
            </w:r>
            <w:r>
              <w:rPr>
                <w:rFonts w:ascii="仿宋_GB2312" w:hAnsi="仿宋_GB2312" w:cs="仿宋_GB2312" w:eastAsia="仿宋_GB2312"/>
                <w:sz w:val="20"/>
                <w:b/>
                <w:u w:val="single"/>
              </w:rPr>
              <w:t>工程竣工验收合格后经审计部门或其委托有工程造价咨询资质的机构审定结算后，缴纳施工水电费后，支付至审定结算价的100%。但在国家规定的保修期限内，保修责任仍由承包人继续承担。</w:t>
            </w:r>
          </w:p>
          <w:p>
            <w:pPr>
              <w:pStyle w:val="null3"/>
              <w:spacing w:after="165"/>
              <w:ind w:firstLine="402"/>
              <w:jc w:val="both"/>
            </w:pPr>
            <w:r>
              <w:rPr>
                <w:rFonts w:ascii="仿宋_GB2312" w:hAnsi="仿宋_GB2312" w:cs="仿宋_GB2312" w:eastAsia="仿宋_GB2312"/>
                <w:sz w:val="20"/>
                <w:b/>
                <w:u w:val="single"/>
              </w:rPr>
              <w:t>本工程的工程量据实结算，若乙方报送的原始结算价超出甲方审定结算价的3％，则乙方承担全部审计费，在结算付款时一次性扣除。</w:t>
            </w:r>
          </w:p>
          <w:p>
            <w:pPr>
              <w:pStyle w:val="null3"/>
              <w:spacing w:after="165"/>
              <w:jc w:val="both"/>
            </w:pPr>
            <w:r>
              <w:rPr>
                <w:rFonts w:ascii="仿宋_GB2312" w:hAnsi="仿宋_GB2312" w:cs="仿宋_GB2312" w:eastAsia="仿宋_GB2312"/>
                <w:sz w:val="21"/>
                <w:b/>
              </w:rPr>
              <w:t xml:space="preserve">    </w:t>
            </w:r>
            <w:r>
              <w:rPr>
                <w:rFonts w:ascii="仿宋_GB2312" w:hAnsi="仿宋_GB2312" w:cs="仿宋_GB2312" w:eastAsia="仿宋_GB2312"/>
                <w:sz w:val="20"/>
                <w:b/>
              </w:rPr>
              <w:t>（2）履约保证金要求</w:t>
            </w:r>
          </w:p>
          <w:p>
            <w:pPr>
              <w:pStyle w:val="null3"/>
              <w:spacing w:after="165"/>
              <w:ind w:firstLine="400"/>
              <w:jc w:val="both"/>
            </w:pPr>
            <w:r>
              <w:rPr>
                <w:rFonts w:ascii="仿宋_GB2312" w:hAnsi="仿宋_GB2312" w:cs="仿宋_GB2312" w:eastAsia="仿宋_GB2312"/>
                <w:sz w:val="20"/>
                <w:u w:val="single"/>
              </w:rPr>
              <w:t>履约保证金基本要求：供应商成交后凭成交通知书向采购人缴纳成交金额的3%作为履约保证金，待合同履约完毕后无息退还。</w:t>
            </w:r>
          </w:p>
          <w:p>
            <w:pPr>
              <w:pStyle w:val="null3"/>
              <w:spacing w:after="165"/>
              <w:ind w:firstLine="402"/>
              <w:jc w:val="left"/>
            </w:pPr>
            <w:r>
              <w:rPr>
                <w:rFonts w:ascii="仿宋_GB2312" w:hAnsi="仿宋_GB2312" w:cs="仿宋_GB2312" w:eastAsia="仿宋_GB2312"/>
                <w:sz w:val="20"/>
                <w:b/>
              </w:rPr>
              <w:t>3.</w:t>
            </w:r>
            <w:r>
              <w:rPr>
                <w:rFonts w:ascii="仿宋_GB2312" w:hAnsi="仿宋_GB2312" w:cs="仿宋_GB2312" w:eastAsia="仿宋_GB2312"/>
                <w:sz w:val="20"/>
                <w:b/>
              </w:rPr>
              <w:t>质量标准：</w:t>
            </w:r>
            <w:r>
              <w:rPr>
                <w:rFonts w:ascii="仿宋_GB2312" w:hAnsi="仿宋_GB2312" w:cs="仿宋_GB2312" w:eastAsia="仿宋_GB2312"/>
                <w:sz w:val="20"/>
                <w:u w:val="single"/>
              </w:rPr>
              <w:t xml:space="preserve"> 质量标准执行国家、陕西省、西安市现行工程质量验评标准。</w:t>
            </w:r>
          </w:p>
          <w:p>
            <w:pPr>
              <w:pStyle w:val="null3"/>
              <w:spacing w:after="165"/>
              <w:ind w:firstLine="402"/>
              <w:jc w:val="left"/>
            </w:pPr>
            <w:r>
              <w:rPr>
                <w:rFonts w:ascii="仿宋_GB2312" w:hAnsi="仿宋_GB2312" w:cs="仿宋_GB2312" w:eastAsia="仿宋_GB2312"/>
                <w:sz w:val="20"/>
                <w:b/>
              </w:rPr>
              <w:t>4.</w:t>
            </w:r>
            <w:r>
              <w:rPr>
                <w:rFonts w:ascii="仿宋_GB2312" w:hAnsi="仿宋_GB2312" w:cs="仿宋_GB2312" w:eastAsia="仿宋_GB2312"/>
                <w:sz w:val="20"/>
                <w:b/>
              </w:rPr>
              <w:t>质保期及保修要求：</w:t>
            </w:r>
          </w:p>
          <w:p>
            <w:pPr>
              <w:pStyle w:val="null3"/>
              <w:spacing w:after="165"/>
              <w:ind w:firstLine="402"/>
              <w:jc w:val="both"/>
            </w:pPr>
            <w:r>
              <w:rPr>
                <w:rFonts w:ascii="仿宋_GB2312" w:hAnsi="仿宋_GB2312" w:cs="仿宋_GB2312" w:eastAsia="仿宋_GB2312"/>
                <w:sz w:val="20"/>
                <w:b/>
              </w:rPr>
              <w:t>（1）质保期：本项目竣工验收合格通过之日起</w:t>
            </w:r>
            <w:r>
              <w:rPr>
                <w:rFonts w:ascii="仿宋_GB2312" w:hAnsi="仿宋_GB2312" w:cs="仿宋_GB2312" w:eastAsia="仿宋_GB2312"/>
                <w:sz w:val="20"/>
                <w:b/>
                <w:u w:val="single"/>
              </w:rPr>
              <w:t xml:space="preserve"> 贰 </w:t>
            </w:r>
            <w:r>
              <w:rPr>
                <w:rFonts w:ascii="仿宋_GB2312" w:hAnsi="仿宋_GB2312" w:cs="仿宋_GB2312" w:eastAsia="仿宋_GB2312"/>
                <w:sz w:val="20"/>
                <w:b/>
              </w:rPr>
              <w:t>年；</w:t>
            </w:r>
          </w:p>
          <w:p>
            <w:pPr>
              <w:pStyle w:val="null3"/>
              <w:spacing w:after="165"/>
              <w:ind w:firstLine="402"/>
              <w:jc w:val="both"/>
            </w:pPr>
            <w:r>
              <w:rPr>
                <w:rFonts w:ascii="仿宋_GB2312" w:hAnsi="仿宋_GB2312" w:cs="仿宋_GB2312" w:eastAsia="仿宋_GB2312"/>
                <w:sz w:val="20"/>
                <w:b/>
              </w:rPr>
              <w:t>（2）保修要求</w:t>
            </w:r>
          </w:p>
          <w:p>
            <w:pPr>
              <w:pStyle w:val="null3"/>
              <w:spacing w:after="165"/>
              <w:ind w:firstLine="400"/>
              <w:jc w:val="both"/>
            </w:pPr>
            <w:r>
              <w:rPr>
                <w:rFonts w:ascii="仿宋_GB2312" w:hAnsi="仿宋_GB2312" w:cs="仿宋_GB2312" w:eastAsia="仿宋_GB2312"/>
                <w:sz w:val="20"/>
              </w:rPr>
              <w:t>①属于保修范围和内容的项目，承包人应在接到维修通知后，</w:t>
            </w:r>
            <w:r>
              <w:rPr>
                <w:rFonts w:ascii="仿宋_GB2312" w:hAnsi="仿宋_GB2312" w:cs="仿宋_GB2312" w:eastAsia="仿宋_GB2312"/>
                <w:sz w:val="20"/>
                <w:u w:val="single"/>
              </w:rPr>
              <w:t xml:space="preserve"> 1 </w:t>
            </w:r>
            <w:r>
              <w:rPr>
                <w:rFonts w:ascii="仿宋_GB2312" w:hAnsi="仿宋_GB2312" w:cs="仿宋_GB2312" w:eastAsia="仿宋_GB2312"/>
                <w:sz w:val="20"/>
              </w:rPr>
              <w:t>天内派人维修。发生紧急抢修事故（如上水管跑水、爆裂，供电设施漏、断电等），承包人应在接到事故通知后</w:t>
            </w:r>
            <w:r>
              <w:rPr>
                <w:rFonts w:ascii="仿宋_GB2312" w:hAnsi="仿宋_GB2312" w:cs="仿宋_GB2312" w:eastAsia="仿宋_GB2312"/>
                <w:sz w:val="20"/>
                <w:u w:val="single"/>
              </w:rPr>
              <w:t xml:space="preserve"> 2 </w:t>
            </w:r>
            <w:r>
              <w:rPr>
                <w:rFonts w:ascii="仿宋_GB2312" w:hAnsi="仿宋_GB2312" w:cs="仿宋_GB2312" w:eastAsia="仿宋_GB2312"/>
                <w:sz w:val="20"/>
              </w:rPr>
              <w:t>小时内到达事故现场并于</w:t>
            </w:r>
            <w:r>
              <w:rPr>
                <w:rFonts w:ascii="仿宋_GB2312" w:hAnsi="仿宋_GB2312" w:cs="仿宋_GB2312" w:eastAsia="仿宋_GB2312"/>
                <w:sz w:val="20"/>
                <w:u w:val="single"/>
              </w:rPr>
              <w:t xml:space="preserve"> 4 </w:t>
            </w:r>
            <w:r>
              <w:rPr>
                <w:rFonts w:ascii="仿宋_GB2312" w:hAnsi="仿宋_GB2312" w:cs="仿宋_GB2312" w:eastAsia="仿宋_GB2312"/>
                <w:sz w:val="20"/>
              </w:rPr>
              <w:t>小时内完成应急维修。</w:t>
            </w:r>
          </w:p>
          <w:p>
            <w:pPr>
              <w:pStyle w:val="null3"/>
              <w:spacing w:after="165"/>
              <w:ind w:firstLine="402"/>
              <w:jc w:val="both"/>
            </w:pPr>
            <w:r>
              <w:rPr>
                <w:rFonts w:ascii="仿宋_GB2312" w:hAnsi="仿宋_GB2312" w:cs="仿宋_GB2312" w:eastAsia="仿宋_GB2312"/>
                <w:sz w:val="20"/>
                <w:b/>
              </w:rPr>
              <w:t>5.</w:t>
            </w:r>
            <w:r>
              <w:rPr>
                <w:rFonts w:ascii="仿宋_GB2312" w:hAnsi="仿宋_GB2312" w:cs="仿宋_GB2312" w:eastAsia="仿宋_GB2312"/>
                <w:sz w:val="20"/>
                <w:b/>
              </w:rPr>
              <w:t>施工地点</w:t>
            </w:r>
            <w:r>
              <w:rPr>
                <w:rFonts w:ascii="仿宋_GB2312" w:hAnsi="仿宋_GB2312" w:cs="仿宋_GB2312" w:eastAsia="仿宋_GB2312"/>
                <w:sz w:val="20"/>
              </w:rPr>
              <w:t>：西安建筑科技大学雁塔校区南院指定地点。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1、本工程为交钥匙工程，为清单报价，报价中包含暂列金，最终工程量按照实际发生量计取。 2、报价汇总表中的价格必须是完成本项目的所有费用的报价；工程量清单中的全费用综合单价包括但不限于所需的人工费、材料费、运杂费（含装卸、搬运、损耗、二次运输及多次倒运费用）、施工机械使用费、保管费、检测与试验费、安装及调试费、各种措施费（含安全文明措施费）、劳保统筹基金、各类保险、管理费、利润、规费、各项税费、施工车辆校内通行费、垃圾清运费、用水用电费、验收、质保及保修服务、风险、责任和义务等所有费用。 3、供应商填报工程量清单报价时，对采购人提供的工程量清单数据及内容、表格格式均不得改动，如有改动，工程结算时采购人有权按有利于采购人的方式进行结算。 4、磋商报价应是包含劳保统筹基金的含税工程造价。</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1、成交供应商领取成交通知书时，提交纸质响应文件正本壹份、副本贰份、电子版壹份（U盘壹份注明单位名称）编辑目录和页码，内容和通过电子化交易平台实施的政府采购项目提交的响应文件一致。 2、纸质响应文件正副本分别胶装。 3、保证金的退还：自成交通知书发出之日起5个工作日内退还未成交供应商的磋商保证金,自采购合同签订之日起5个工作日内退还成交供应商的磋商保证金。 4、其他要求：本项目按全费用综合单价执行。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具有独立承担民事责任能力的法人、其他组织或自然人，并出具合法有效的营业执照或事业单位法人证书等国家规定的相关证明，自然人参与的提供其身份证明。②提供2024年10月至今已缴纳至少一个月的依法缴纳税款的相关凭据（时间以税款所属日期为准），凭据应有税务机关或代收机关的公章或业务专用章。依法免税或无须缴纳税款的供应商，应提供相关证明文件。③提供2024年10月至今已缴存的至少一个月的社会保障资金缴存单据或社保机构开具的社会保险参保缴费情况证明，依法不需要缴纳社会保障资金的单位应提供相关证明材料。④参加本次采购活动前三年内在经营活动中没有重大违法，以及未被列入失信被执行人、重大税收违法失信主体、政府采购严重违法失信行为记录名单的书面声明。本项目拒绝被列入失信被执行人、重大税收违法失信主体、政府采购严重违法失信行为的供应商参与。⑤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2024年度审计报告（成立时间至提交投标文件截止时间不足一年的可提供成立后任意时段的资产负债表），或提交自2025年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拟派项目经理具备合法有效的建筑工程专业二级及以上注册建造师资格和安全生产考核合格证，且无其他在建工程（提供无在建工程的承诺函）。</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供应商应具备建设行政主管部门颁发合法有效的建筑工程施工总承包三级及以上资质，且具备合法有效的安全生产许可证。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陕西省外的供应商及其拟派项目经理相关信息须在“陕西省住房和城乡建设厅”官方网站可查询。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w:t>
            </w:r>
          </w:p>
        </w:tc>
        <w:tc>
          <w:tcPr>
            <w:tcW w:type="dxa" w:w="3322"/>
          </w:tcPr>
          <w:p>
            <w:pPr>
              <w:pStyle w:val="null3"/>
            </w:pPr>
            <w:r>
              <w:rPr>
                <w:rFonts w:ascii="仿宋_GB2312" w:hAnsi="仿宋_GB2312" w:cs="仿宋_GB2312" w:eastAsia="仿宋_GB2312"/>
              </w:rPr>
              <w:t>本项目专门面向中小企业采购，供应商须为中小企业，并提供声明函。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响应文件的初步审查</w:t>
            </w:r>
          </w:p>
        </w:tc>
        <w:tc>
          <w:tcPr>
            <w:tcW w:type="dxa" w:w="3322"/>
          </w:tcPr>
          <w:p>
            <w:pPr>
              <w:pStyle w:val="null3"/>
            </w:pPr>
            <w:r>
              <w:rPr>
                <w:rFonts w:ascii="仿宋_GB2312" w:hAnsi="仿宋_GB2312" w:cs="仿宋_GB2312" w:eastAsia="仿宋_GB2312"/>
              </w:rPr>
              <w:t>磋商小组应当对供应商提交的响应文件进行初步审查，包括响应文件的有效性、完整性、符合性。除可变动的技术、服务要求以及合同草案条款外，首次提交的响应文件有不符合下列情况的，其响应文件无效。(1) 供应商名称与营业执照、资质证书一致；(2) 响应文件按磋商文件要求的数量、计量单位、报价货币及签字盖章；(3) 响应文件的有效期达到磋商文件要求；(4) 响应文件中主要材料技术指标无负偏离的； (5) 符合法律、法规和磋商文件中规定的其他实质性要求；(6)响应文件出现工程量漏项或工程量清单与要求不符的；(7) 提供拟派项目经理及项目组成员在项目结束前不可更换的承诺函；(8) 提供拟派项目经理及项目组成员本单位近6个月内社保缴纳证明；(9) 保证金交纳符合磋商文件要求。</w:t>
            </w:r>
          </w:p>
        </w:tc>
        <w:tc>
          <w:tcPr>
            <w:tcW w:type="dxa" w:w="1661"/>
          </w:tcPr>
          <w:p>
            <w:pPr>
              <w:pStyle w:val="null3"/>
            </w:pPr>
            <w:r>
              <w:rPr>
                <w:rFonts w:ascii="仿宋_GB2312" w:hAnsi="仿宋_GB2312" w:cs="仿宋_GB2312" w:eastAsia="仿宋_GB2312"/>
              </w:rPr>
              <w:t>响应方案说明.docx 已标价工程量清单 中小企业声明函 技术服务合同条款及其他商务要求应答表 供应商承诺书.docx 强制优先采购产品承诺函 响应文件封面 项目经理及项目组人员本单位近6个月内社保缴纳证明.docx 项目管理机构组成表 主材技术要求响应偏差表.docx 残疾人福利性单位声明函 项目经理及项目组人员承诺函.docx 保证金交纳凭证.docx 报价函 标的清单 供应商资格证明文件.docx 供应商类似项目业绩一览表 响应函 主要人员简历表 报价明细表.docx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1、对项目实施的现场情况、难易程度、历史资料匹配、成品保护等重点、难点进行分析；根据对项目整体理解内容全面，可实施性强得2分；内容有缺项漏项，基本可行得1分；未提供不计分。 2、对易发生质量通病、易出现安全问题、施工难度大、技术含量高的分项工程等进行说明并给出施工保障措施和专项技术方案（含主要施工工法、组织措施、检验手段等）；内容完备、科学、合理、针对性强得2分；内容简单粗略、基本可行得1分；未提供的不计分。 3、影响本项目的外在因素和可能出现的问题进行分析，并制定相关应急预案或保证措施。内容完备、科学、合理、针对性强得2分；内容简单粗略、基本可行、针对性较弱得1分；未提供的不计分。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1、针对本项目工期、质量高的特点，制定切实可行的施工进度计划（网络图/横道图）和工期保证措施，施工顺序具体说明及施工流水段划分；工期控制要点及分级控制措施；进度监管手段、人材机组织保证。内容完备、科学、合理、针对性强得3分；内容简略、基本可行得1.5分；未提供的不计分。 2、针对本项目工期紧、质量高的特点，制定切实可行的现场调度及总包分包协调方案；赶工方案及奖惩措施；劳动力配置计划和生产效率及生活保障措施；检测及机具设备计划、材料准备计划及相关保证措施。内容完备、科学、合理、针对性强得3分；内容简略、基本可行得1.5分；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1、针对本项目特点制定切实可行质量管理预控措施（各项质量目标及控制措施、质量检验和实验计划、事前控制、材料质量控制、施工机具控制等）；内容科学、合理、针对性强得2分；内容较完备、合理、可行得1分；未提供的不计分。 2、分部分项工程质量保证措施；成品保护和工程保修管理措施。内容科学、合理、针对性强得2分；内容较完备、合理、可行得1分；未提供的不计分。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1、结合工程环境、特点分析安全隐患，给出有针对性的安全生产、文明施工、环保施工、防尘降噪等保证措施。内容完备、科学、合理、针对性强得3分；内容一般、基本可行得1.5分；缺项或未提供不得分。 2、安全文明、环保施工保证体系和控制点设置合理，满足国家、省市相关法规规定及采购文件要求。内容完备、科学、合理、针对性强得3分；内容简单粗略、基本可行、针对性较弱得1.5分；缺项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供应商针对本项目提供的项目人员组成，技术负责人（职称、学历、工作年限），其他项目人员构成情况（岗位设置、专业种类及能力、有技术职称的人员比例）等进行进行赋分。 项目人员配置齐全、合理、职责划分清晰、针对性强得4分；内容一般、基本可行得2分；不提供不计分。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项目经理及项目组人员承诺函.docx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项目经理及项目组人员本单位近6个月内社保缴纳证明.docx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供应商提供拟派项目经理自2022年1月1日至今的类似业绩证明材料，每提供1项得1分，最多得3分。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主要材料品牌、价格表</w:t>
            </w:r>
          </w:p>
        </w:tc>
        <w:tc>
          <w:tcPr>
            <w:tcW w:type="dxa" w:w="2492"/>
          </w:tcPr>
          <w:p>
            <w:pPr>
              <w:pStyle w:val="null3"/>
            </w:pPr>
            <w:r>
              <w:rPr>
                <w:rFonts w:ascii="仿宋_GB2312" w:hAnsi="仿宋_GB2312" w:cs="仿宋_GB2312" w:eastAsia="仿宋_GB2312"/>
              </w:rPr>
              <w:t>1、主要材料品牌、价格表填写完整，无缺漏项计3分。 2、根据供应商针对本项目拟投入主要材料品牌、价格表的产品选型情况、品质进行评审：主要材料品牌、价格表的市场应用比例高与本次项目契合度高、为主流产品且符合相关要求，相关证明材料完整、清晰的得5分； 主要材料品牌、价格表的市场应用比例较高与本次项目契合度一般、为一般产品，相关证明材料基本完整的得3分； 主要材料品牌、价格表的市场占有率一般，相关证明材料不完整，缺失严重的得1分； 未提供的得0分。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主材技术要求响应偏差表.docx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报价明细表.docx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针对本项目所选用的材料采用绿色环保、节能材料的； 以上内容每提供一项得0.5分，最高得1分，不提供不计分。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主材技术要求响应偏差表.docx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赋分，方案完善、科学合理，针对性强、服务承诺明确，计3分，方案一般、基本可行、特点和承诺不明确，计1.5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满足磋商文件要求且最后磋商价格最低的磋商报价为评标基准价，其价格分为满分。其他供应商的价格分统一按照下列公式计算：磋商报价得分=（评标基准价/磋商报价）×55。</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详见附件：项目经理及项目组人员本单位近6个月内社保缴纳证明.docx</w:t>
      </w:r>
    </w:p>
    <w:p>
      <w:pPr>
        <w:pStyle w:val="null3"/>
        <w:ind w:firstLine="960"/>
      </w:pPr>
      <w:r>
        <w:rPr>
          <w:rFonts w:ascii="仿宋_GB2312" w:hAnsi="仿宋_GB2312" w:cs="仿宋_GB2312" w:eastAsia="仿宋_GB2312"/>
        </w:rPr>
        <w:t>详见附件：项目经理及项目组人员承诺函.docx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详见附件：主材技术要求响应偏差表.docx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